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C9" w:rsidRPr="000B2AC9" w:rsidRDefault="000B2AC9" w:rsidP="000B2AC9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0B2AC9">
        <w:rPr>
          <w:rFonts w:ascii="Times New Roman" w:hAnsi="Times New Roman"/>
          <w:sz w:val="28"/>
          <w:szCs w:val="32"/>
        </w:rPr>
        <w:t xml:space="preserve">Приложение </w:t>
      </w:r>
    </w:p>
    <w:p w:rsidR="000B2AC9" w:rsidRPr="000B2AC9" w:rsidRDefault="000B2AC9" w:rsidP="000B2AC9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0B2AC9">
        <w:rPr>
          <w:rFonts w:ascii="Times New Roman" w:hAnsi="Times New Roman"/>
          <w:sz w:val="24"/>
          <w:szCs w:val="32"/>
        </w:rPr>
        <w:t xml:space="preserve">к Положению о внутренней системе оценки </w:t>
      </w:r>
    </w:p>
    <w:p w:rsidR="000B2AC9" w:rsidRPr="000B2AC9" w:rsidRDefault="000B6919" w:rsidP="000B2AC9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качества образования в ДОУ № </w:t>
      </w:r>
      <w:r w:rsidR="000B2AC9" w:rsidRPr="000B2AC9"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/>
          <w:sz w:val="24"/>
          <w:szCs w:val="32"/>
        </w:rPr>
        <w:t>0</w:t>
      </w:r>
      <w:bookmarkStart w:id="0" w:name="_GoBack"/>
      <w:bookmarkEnd w:id="0"/>
      <w:r w:rsidR="000B2AC9" w:rsidRPr="000B2AC9">
        <w:rPr>
          <w:rFonts w:ascii="Times New Roman" w:hAnsi="Times New Roman"/>
          <w:sz w:val="24"/>
          <w:szCs w:val="32"/>
        </w:rPr>
        <w:t xml:space="preserve"> г. Липецка </w:t>
      </w:r>
    </w:p>
    <w:p w:rsidR="00142316" w:rsidRDefault="00142316" w:rsidP="000B2AC9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8"/>
        </w:rPr>
      </w:pPr>
    </w:p>
    <w:p w:rsidR="00142316" w:rsidRDefault="00142316" w:rsidP="000B2AC9">
      <w:pPr>
        <w:spacing w:after="0" w:line="240" w:lineRule="auto"/>
        <w:ind w:left="720"/>
        <w:jc w:val="center"/>
        <w:rPr>
          <w:rFonts w:ascii="Times New Roman" w:hAnsi="Times New Roman"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КАРТА ОЦЕНКИ РАЗВИВАЮЩЕЙ ПРЕДМЕТНО-ПРОСТРАНСТВЕННОЙ СРЕДЫ ДОУ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09"/>
        <w:gridCol w:w="12807"/>
        <w:gridCol w:w="1134"/>
        <w:gridCol w:w="992"/>
      </w:tblGrid>
      <w:tr w:rsidR="000B2AC9" w:rsidTr="000B2AC9">
        <w:trPr>
          <w:cantSplit/>
          <w:trHeight w:val="10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индикатора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C9" w:rsidRDefault="000B2A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Показатели и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</w:tr>
      <w:tr w:rsidR="000B2AC9" w:rsidTr="000B2AC9">
        <w:trPr>
          <w:cantSplit/>
          <w:trHeight w:hRule="exact" w:val="4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Pr="000B2AC9" w:rsidRDefault="000B2AC9" w:rsidP="000B2AC9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Образовательное пространство ДОУ обеспечивает возможность реализации разных видов детской активности, предусмотренных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Indent21"/>
              <w:overflowPunct/>
              <w:autoSpaceDE/>
              <w:adjustRightInd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предназначенных для образовательной деятельности детей (музыкальном, спортивном залах и т.д.)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pStyle w:val="a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На участке выделены зоны для общения и совместной деятельности больших и малых групп детей из разных возрастных групп и взрослых.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PlainText1"/>
              <w:ind w:right="54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54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 помещениях ДОУ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 доступные детям помещения ДОУ,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возможность безопасного беспрепятственного доступа к объектам инфраструктуры ДОУ</w:t>
            </w:r>
          </w:p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достаточно места для специального оборудования для детей с ОВЗ</w:t>
            </w:r>
          </w:p>
          <w:p w:rsidR="000B2AC9" w:rsidRDefault="000B2AC9">
            <w:pPr>
              <w:pStyle w:val="default"/>
              <w:ind w:left="108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В групповых и других помещениях ДОУ достаточно пространства для свободного передвижения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 xml:space="preserve">В ДОУ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>
              <w:rPr>
                <w:sz w:val="22"/>
                <w:szCs w:val="24"/>
              </w:rPr>
              <w:t>автогородок</w:t>
            </w:r>
            <w:proofErr w:type="spellEnd"/>
            <w:r>
              <w:rPr>
                <w:sz w:val="22"/>
                <w:szCs w:val="24"/>
              </w:rPr>
              <w:t xml:space="preserve">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имеются оборудование, инвентарь и материалы для физического развития детей (лесенки, горки, лабиринты;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  <w:p w:rsidR="000B2AC9" w:rsidRDefault="000B2AC9">
            <w:pPr>
              <w:pStyle w:val="BodyText21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педагога-психолога и пр.)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1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Pr="008A0890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в ДОУ обеспечивает условия для эмоционального благополучия и личностного развития детей </w:t>
            </w:r>
            <w:r w:rsidRPr="008A0890">
              <w:rPr>
                <w:b/>
                <w:sz w:val="22"/>
                <w:szCs w:val="24"/>
              </w:rPr>
              <w:t xml:space="preserve"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>
              <w:rPr>
                <w:sz w:val="22"/>
                <w:szCs w:val="24"/>
              </w:rPr>
              <w:t>ряжения</w:t>
            </w:r>
            <w:proofErr w:type="spellEnd"/>
            <w:r>
              <w:rPr>
                <w:sz w:val="22"/>
                <w:szCs w:val="24"/>
              </w:rPr>
              <w:t>» и т.п.)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огород, «живой уголок» и др.)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развивающая среда ДОУ </w:t>
            </w:r>
            <w:r>
              <w:rPr>
                <w:b/>
                <w:color w:val="000000"/>
                <w:sz w:val="22"/>
                <w:szCs w:val="24"/>
              </w:rPr>
              <w:t xml:space="preserve">является </w:t>
            </w:r>
            <w:proofErr w:type="gramStart"/>
            <w:r>
              <w:rPr>
                <w:b/>
                <w:color w:val="000000"/>
                <w:sz w:val="22"/>
                <w:szCs w:val="24"/>
              </w:rPr>
              <w:t>трансформируемой</w:t>
            </w:r>
            <w:proofErr w:type="gramEnd"/>
            <w:r>
              <w:rPr>
                <w:b/>
                <w:sz w:val="22"/>
                <w:szCs w:val="24"/>
              </w:rPr>
              <w:t xml:space="preserve"> т.е. может меняться  в зависимости от образовательной ситуации, в том числе, от меняющихся интересов и возможностей детей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      </w:r>
          </w:p>
          <w:p w:rsidR="000B2AC9" w:rsidRDefault="000B2AC9">
            <w:pPr>
              <w:pStyle w:val="BodyText21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 всех групповых, а также в иных помещениях ДОУ обеспечена возможность подключения к Всемирной информационно-телекоммуникационной сети Интернет посредством кабельной проводки, а также с помощью технологии </w:t>
            </w:r>
            <w:r>
              <w:rPr>
                <w:sz w:val="22"/>
                <w:szCs w:val="24"/>
                <w:lang w:val="en-US"/>
              </w:rPr>
              <w:t>Wi</w:t>
            </w:r>
            <w:r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  <w:lang w:val="en-US"/>
              </w:rPr>
              <w:t>Fi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ДОУ и ее элементы соответствуют требованиям по обеспечению надежности и безопасности 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42316" w:rsidRDefault="00142316" w:rsidP="00142316">
      <w:pPr>
        <w:rPr>
          <w:rFonts w:ascii="Times New Roman" w:hAnsi="Times New Roman"/>
          <w:sz w:val="20"/>
        </w:rPr>
      </w:pPr>
    </w:p>
    <w:p w:rsidR="00A14301" w:rsidRDefault="00A14301"/>
    <w:sectPr w:rsidR="00A14301" w:rsidSect="000B2A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7"/>
    <w:rsid w:val="000B2AC9"/>
    <w:rsid w:val="000B6919"/>
    <w:rsid w:val="00142316"/>
    <w:rsid w:val="006E0A87"/>
    <w:rsid w:val="008A0890"/>
    <w:rsid w:val="00A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4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4231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423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14231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  <w:ind w:hanging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4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4231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423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14231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  <w:ind w:hanging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ДОУ№30</cp:lastModifiedBy>
  <cp:revision>5</cp:revision>
  <dcterms:created xsi:type="dcterms:W3CDTF">2023-11-01T11:19:00Z</dcterms:created>
  <dcterms:modified xsi:type="dcterms:W3CDTF">2024-01-22T10:08:00Z</dcterms:modified>
</cp:coreProperties>
</file>